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511001M00016</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Gestaltung des Ratsgarten und Sanierung der angrenzenden Stadtmauer; Los 2 - Landschaftsbauarbeiten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90/2026/RatsgartenStadtmauer-L2/VOB-öA</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Die Leistungen umfassen die gesamte Baustelleneinrichtung, die Herstellung einer Treppenanlage, gepflasterte Wege, Vegetationsflächen einschließlich Fertigstellungspflege. Der Garten ist ca. 1.000 m2 groß und in drei Terrassen unterteilt, wobei der Zugang zum "Goldenen Saal" barrierefrei herzustellen ist.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